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8C4A32"/>
          <w:sz w:val="19"/>
        </w:rPr>
        <w:t>MODIFIABLE REQUEST FOR PROPOSALS (RFP) TEMPLATE  |  VNA-RFP-020</w:t>
      </w:r>
    </w:p>
    <w:p>
      <w:pPr>
        <w:pStyle w:val="Heading1"/>
      </w:pPr>
      <w:r>
        <w:rPr>
          <w:color w:val="262421"/>
        </w:rPr>
        <w:t>Request for Proposals (RFP): Oracle 23ai Document AI &amp; Intelligent OCR: Extract PDFs &amp; Invoices into APEX &amp; Vector Search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8C4A32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VNA-RFP-020 (Companion to Solution Brief VNA-SB-020)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Unstructured PDFs, Scanned TIFFs, Invoices, MSAs/SOWs &amp; Lab Reports environment to OCI Document Understanding, Multimodal LLMs, Oracle 23ai AI Vector Search &amp; APEX.</w:t>
      </w:r>
    </w:p>
    <w:p>
      <w:pPr>
        <w:pStyle w:val="ListBullet"/>
      </w:pPr>
      <w:r>
        <w:t>Legacy template-based OCR tools break the moment a vendor changes their invoice layout or a multi-page contract contains nested tables and handwritten annotations.</w:t>
      </w:r>
    </w:p>
    <w:p>
      <w:pPr>
        <w:pStyle w:val="ListBullet"/>
      </w:pPr>
      <w:r>
        <w:t>Connecting standalone third-party AI tools to enterprise ERPs requires stitching together separate vector databases (Pinecone/Weaviate), blob stores, Python glue servers, and custom review UIs.</w:t>
      </w:r>
    </w:p>
    <w:p>
      <w:pPr>
        <w:pStyle w:val="ListBullet"/>
      </w:pPr>
      <w:r>
        <w:t>Regulated finance, healthcare, and legal workflows require deterministic confidence scoring and a fast side-by-side human verification screen whenever a field confidence score falls below threshold.</w:t>
      </w:r>
    </w:p>
    <w:p>
      <w:pPr>
        <w:pStyle w:val="Heading2"/>
      </w:pPr>
      <w:r>
        <w:rPr>
          <w:color w:val="8C4A32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8C4A32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Unstructured PDFs, Scanned TIFFs, Invoices, MSAs/SOWs &amp; Lab Reports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OCI Document Understanding, Multimodal LLMs, Oracle 23ai AI Vector Search &amp; APEX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Monthly PDFs, Invoices &amp; Contracts Processed</w:t>
            </w:r>
          </w:p>
        </w:tc>
        <w:tc>
          <w:tcPr>
            <w:tcW w:type="dxa" w:w="3360"/>
          </w:tcPr>
          <w:p>
            <w:r>
              <w:t>[Insert Count, e.g., 25000 pages/mo]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Document Types &amp; Extraction Schemas</w:t>
            </w:r>
          </w:p>
        </w:tc>
        <w:tc>
          <w:tcPr>
            <w:tcW w:type="dxa" w:w="3360"/>
          </w:tcPr>
          <w:p>
            <w:r>
              <w:t>[Insert Count, e.g., 15 doc types]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8C4A32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Multi-Stage Ingestion &amp; Layout-Aware OCR: Incoming documents from email inboxes, SFTP, or OCI Object Storage are processed through OCI Document Understanding / Veryfi / Nanonets and vision-language models using strict JSON Schema output enforcement.</w:t>
      </w:r>
    </w:p>
    <w:p>
      <w:pPr>
        <w:pStyle w:val="ListNumber"/>
      </w:pPr>
      <w:r>
        <w:rPr>
          <w:b/>
        </w:rPr>
        <w:t xml:space="preserve">[REQ-ARCH-02] </w:t>
      </w:r>
      <w:r>
        <w:t>Unified Oracle 23ai Relational + JSON + AI Vector Storage: Instead of maintaining a separate vector database, extracted JSON payloads, `VECTOR` embeddings (`DBMS_VECTOR`), and relational ledger rows live inside a single ACID-compliant Oracle Database 23ai instance.</w:t>
      </w:r>
    </w:p>
    <w:p>
      <w:pPr>
        <w:pStyle w:val="ListNumber"/>
      </w:pPr>
      <w:r>
        <w:rPr>
          <w:b/>
        </w:rPr>
        <w:t xml:space="preserve">[REQ-ARCH-03] </w:t>
      </w:r>
      <w:r>
        <w:t>Automated Entity Resolution &amp; PO/Contract Matching: Extracted line items are automatically cross-checked against existing purchase orders, contract rate cards, and master vendor tables using hybrid SQL + Vector similarity queries.</w:t>
      </w:r>
    </w:p>
    <w:p>
      <w:pPr>
        <w:pStyle w:val="ListNumber"/>
      </w:pPr>
      <w:r>
        <w:rPr>
          <w:b/>
        </w:rPr>
        <w:t xml:space="preserve">[REQ-ARCH-04] </w:t>
      </w:r>
      <w:r>
        <w:t>Human-in-the-Loop APEX 24.2 Verification Workbench: Documents with confidence scores below 95% or math discrepancies route to a side-by-side APEX split-screen viewer highlighting the exact bounding box on the PDF next to the editable form field.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Manual Email / PDF Invoice &amp; Receipt Entry</w:t>
            </w:r>
          </w:p>
        </w:tc>
        <w:tc>
          <w:tcPr>
            <w:tcW w:type="dxa" w:w="2520"/>
          </w:tcPr>
          <w:p>
            <w:r>
              <w:t>Automated OCR Pipeline + 3-Way PO Match in Oracle 23ai</w:t>
            </w:r>
          </w:p>
        </w:tc>
        <w:tc>
          <w:tcPr>
            <w:tcW w:type="dxa" w:w="2520"/>
          </w:tcPr>
          <w:p>
            <w:r>
              <w:t>Straight-Through Processing + Bounding-Box Exception UI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Unindexed PDF Contract / MSA / SOW Repositories</w:t>
            </w:r>
          </w:p>
        </w:tc>
        <w:tc>
          <w:tcPr>
            <w:tcW w:type="dxa" w:w="2520"/>
          </w:tcPr>
          <w:p>
            <w:r>
              <w:t>Structured Renewal/Rate Tables + Oracle 23ai AI Vector Search</w:t>
            </w:r>
          </w:p>
        </w:tc>
        <w:tc>
          <w:tcPr>
            <w:tcW w:type="dxa" w:w="2520"/>
          </w:tcPr>
          <w:p>
            <w:r>
              <w:t>Clause Extraction + In-Database RAG (`DBMS_VECTOR`)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Siloed External Vector DBs &amp; Python Glue Apps</w:t>
            </w:r>
          </w:p>
        </w:tc>
        <w:tc>
          <w:tcPr>
            <w:tcW w:type="dxa" w:w="2520"/>
          </w:tcPr>
          <w:p>
            <w:r>
              <w:t>Converged Oracle 23ai (Relational + JSON Duality + Vector)</w:t>
            </w:r>
          </w:p>
        </w:tc>
        <w:tc>
          <w:tcPr>
            <w:tcW w:type="dxa" w:w="2520"/>
          </w:tcPr>
          <w:p>
            <w:r>
              <w:t>Single Security, Backup &amp; SQL Governance Plane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Private Equity / Financial PDF Trial Balance Packs</w:t>
            </w:r>
          </w:p>
        </w:tc>
        <w:tc>
          <w:tcPr>
            <w:tcW w:type="dxa" w:w="2520"/>
          </w:tcPr>
          <w:p>
            <w:r>
              <w:t>Automated Medallion Lakehouse Ingestion &amp; Validation</w:t>
            </w:r>
          </w:p>
        </w:tc>
        <w:tc>
          <w:tcPr>
            <w:tcW w:type="dxa" w:w="2520"/>
          </w:tcPr>
          <w:p>
            <w:r>
              <w:t>Deterministic Cross-Foot &amp; Balance Tie-Out Rules</w:t>
            </w:r>
          </w:p>
        </w:tc>
      </w:tr>
    </w:tbl>
    <w:p>
      <w:pPr>
        <w:pStyle w:val="Heading2"/>
      </w:pPr>
      <w:r>
        <w:rPr>
          <w:color w:val="8C4A32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Why store vector embeddings inside Oracle Database 23ai instead of a dedicated vector database?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In enterprise applications, you almost never run a pure vector search in isolation; you need to filter by customer ID, effective date, department security role, and contract status at the same time. Oracle 23ai executes hybrid relational + JSON + vector similarity joins in a single SQL query with zero data duplication.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 you prevent LLM hallucinations on financial numbers and dates?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Every extracted document passes through deterministic PL/SQL validation rules (line-item sum == invoice subtotal + tax == total, valid PO lookup, date range bounds). Any mathematical mismatch is flagged automatically in the APEX human-in-the-loop queue.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Oracle 23ai Converged Document AI Reference Architecture, sample `DBMS_VECTOR` hybrid SQL patterns, and our human-in-the-loop confidence routing matrix.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8C4A32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B2927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(VNA-RFP-020)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VNA-RFP-020  |  https://oracle-23ai-document-ai-ocr.web.app/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